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1F744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77290" cy="1096010"/>
            <wp:effectExtent l="0" t="0" r="3810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7729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FC528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469480D5">
      <w:pPr>
        <w:pStyle w:val="2"/>
        <w:spacing w:before="287" w:line="193" w:lineRule="auto"/>
        <w:ind w:left="552"/>
        <w:rPr>
          <w:sz w:val="27"/>
          <w:szCs w:val="27"/>
        </w:rPr>
      </w:pPr>
      <w:r>
        <w:rPr>
          <w:b/>
          <w:bCs/>
          <w:sz w:val="27"/>
          <w:szCs w:val="27"/>
        </w:rPr>
        <w:t>RHEB</w:t>
      </w:r>
      <w:r>
        <w:rPr>
          <w:b/>
          <w:bCs/>
          <w:spacing w:val="8"/>
          <w:sz w:val="27"/>
          <w:szCs w:val="27"/>
        </w:rPr>
        <w:t xml:space="preserve"> (Y35N)</w:t>
      </w:r>
    </w:p>
    <w:p w14:paraId="4FC0BA95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26338</w:t>
      </w:r>
    </w:p>
    <w:p w14:paraId="6AEF52D7">
      <w:pPr>
        <w:pStyle w:val="2"/>
        <w:spacing w:before="125" w:line="186" w:lineRule="auto"/>
        <w:ind w:left="556"/>
      </w:pPr>
      <w:r>
        <w:rPr>
          <w:b/>
          <w:bCs/>
          <w:spacing w:val="-1"/>
        </w:rPr>
        <w:t xml:space="preserve">Gene Symbol: </w:t>
      </w:r>
      <w:r>
        <w:rPr>
          <w:spacing w:val="-1"/>
        </w:rPr>
        <w:t>RHEB</w:t>
      </w:r>
    </w:p>
    <w:p w14:paraId="23690FFA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59264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Anti-RHEB (Y35N) Mouse Monoclonal</w:t>
      </w:r>
      <w:r>
        <w:rPr>
          <w:spacing w:val="-11"/>
        </w:rPr>
        <w:t xml:space="preserve"> </w:t>
      </w:r>
      <w:r>
        <w:t>Anti</w:t>
      </w:r>
      <w:r>
        <w:rPr>
          <w:spacing w:val="-1"/>
        </w:rPr>
        <w:t>body</w:t>
      </w:r>
    </w:p>
    <w:p w14:paraId="3AF2E676">
      <w:pPr>
        <w:spacing w:before="70"/>
      </w:pPr>
    </w:p>
    <w:p w14:paraId="1C995FE9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D003D21">
      <w:pPr>
        <w:pStyle w:val="2"/>
        <w:spacing w:before="55" w:line="298" w:lineRule="auto"/>
        <w:ind w:left="549" w:right="417" w:firstLine="2"/>
      </w:pPr>
      <w:r>
        <w:rPr>
          <w:b/>
          <w:bCs/>
        </w:rPr>
        <w:t xml:space="preserve">Background: </w:t>
      </w:r>
      <w:r>
        <w:t>RheB (Ras Homolog Enr</w:t>
      </w:r>
      <w:r>
        <w:rPr>
          <w:spacing w:val="-1"/>
        </w:rPr>
        <w:t>iched in</w:t>
      </w:r>
      <w:r>
        <w:t xml:space="preserve">   Brain</w:t>
      </w:r>
      <w:r>
        <w:rPr>
          <w:spacing w:val="2"/>
        </w:rPr>
        <w:t xml:space="preserve">) </w:t>
      </w:r>
      <w:r>
        <w:t>is</w:t>
      </w:r>
      <w:r>
        <w:rPr>
          <w:spacing w:val="2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evolutionarily</w:t>
      </w:r>
      <w:r>
        <w:rPr>
          <w:spacing w:val="2"/>
        </w:rPr>
        <w:t xml:space="preserve"> </w:t>
      </w:r>
      <w:r>
        <w:t>conserved</w:t>
      </w:r>
      <w:r>
        <w:rPr>
          <w:spacing w:val="2"/>
        </w:rPr>
        <w:t xml:space="preserve"> </w:t>
      </w:r>
      <w:r>
        <w:t>member</w:t>
      </w:r>
      <w:r>
        <w:rPr>
          <w:spacing w:val="7"/>
        </w:rPr>
        <w:t xml:space="preserve"> </w:t>
      </w:r>
      <w:r>
        <w:t>of the</w:t>
      </w:r>
      <w:r>
        <w:rPr>
          <w:spacing w:val="2"/>
        </w:rPr>
        <w:t xml:space="preserve"> </w:t>
      </w:r>
      <w:r>
        <w:t>Ras</w:t>
      </w:r>
      <w:r>
        <w:rPr>
          <w:spacing w:val="2"/>
        </w:rPr>
        <w:t>-</w:t>
      </w:r>
      <w:r>
        <w:t>family</w:t>
      </w:r>
      <w:r>
        <w:rPr>
          <w:spacing w:val="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small</w:t>
      </w:r>
      <w:r>
        <w:rPr>
          <w:spacing w:val="2"/>
        </w:rPr>
        <w:t xml:space="preserve"> </w:t>
      </w:r>
      <w:r>
        <w:t>GTP</w:t>
      </w:r>
      <w:r>
        <w:rPr>
          <w:spacing w:val="2"/>
        </w:rPr>
        <w:t>-</w:t>
      </w:r>
      <w:r>
        <w:t>binding</w:t>
      </w:r>
      <w:r>
        <w:rPr>
          <w:spacing w:val="2"/>
        </w:rPr>
        <w:t xml:space="preserve"> </w:t>
      </w:r>
      <w:r>
        <w:t>proteins</w:t>
      </w:r>
    </w:p>
    <w:p w14:paraId="650E28E8">
      <w:pPr>
        <w:pStyle w:val="2"/>
        <w:spacing w:before="36" w:line="276" w:lineRule="exact"/>
        <w:ind w:left="554"/>
      </w:pPr>
      <w:r>
        <w:rPr>
          <w:position w:val="3"/>
        </w:rPr>
        <w:t>originally found to be rapidly in</w:t>
      </w:r>
      <w:r>
        <w:rPr>
          <w:spacing w:val="-1"/>
          <w:position w:val="3"/>
        </w:rPr>
        <w:t>duced by</w:t>
      </w:r>
    </w:p>
    <w:p w14:paraId="20E558D9">
      <w:pPr>
        <w:pStyle w:val="2"/>
        <w:spacing w:before="36" w:line="301" w:lineRule="auto"/>
        <w:ind w:left="553" w:right="526" w:firstLine="3"/>
      </w:pPr>
      <w:r>
        <w:t>synaptic activity in the hippocampus</w:t>
      </w:r>
      <w:r>
        <w:rPr>
          <w:spacing w:val="-1"/>
        </w:rPr>
        <w:t xml:space="preserve"> following</w:t>
      </w:r>
      <w:r>
        <w:t xml:space="preserve">  seizure. While it is expressed at relat</w:t>
      </w:r>
      <w:r>
        <w:rPr>
          <w:spacing w:val="-1"/>
        </w:rPr>
        <w:t>ively high</w:t>
      </w:r>
      <w:r>
        <w:t xml:space="preserve">  levels in the brain, RheB is widely expre</w:t>
      </w:r>
      <w:r>
        <w:rPr>
          <w:spacing w:val="-1"/>
        </w:rPr>
        <w:t>ssed in</w:t>
      </w:r>
      <w:r>
        <w:t xml:space="preserve"> other tissues and may be induced b</w:t>
      </w:r>
      <w:r>
        <w:rPr>
          <w:spacing w:val="-1"/>
        </w:rPr>
        <w:t>y growth</w:t>
      </w:r>
    </w:p>
    <w:p w14:paraId="79963A6B">
      <w:pPr>
        <w:pStyle w:val="2"/>
        <w:spacing w:before="37" w:line="292" w:lineRule="auto"/>
        <w:ind w:left="548" w:right="402" w:firstLine="6"/>
      </w:pPr>
      <w:r>
        <w:t xml:space="preserve">factor stimulation. RheB has an important </w:t>
      </w:r>
      <w:r>
        <w:rPr>
          <w:spacing w:val="-1"/>
        </w:rPr>
        <w:t>role in</w:t>
      </w:r>
      <w:r>
        <w:t xml:space="preserve"> regulating the insulin/TOR signaling pat</w:t>
      </w:r>
      <w:r>
        <w:rPr>
          <w:spacing w:val="-1"/>
        </w:rPr>
        <w:t>hway.</w:t>
      </w:r>
    </w:p>
    <w:p w14:paraId="4D701DFB">
      <w:pPr>
        <w:pStyle w:val="2"/>
        <w:spacing w:before="37" w:line="292" w:lineRule="auto"/>
        <w:ind w:left="556" w:right="382" w:hanging="3"/>
      </w:pPr>
      <w:r>
        <w:t>The mammalian target of</w:t>
      </w:r>
      <w:r>
        <w:rPr>
          <w:spacing w:val="-14"/>
        </w:rPr>
        <w:t xml:space="preserve"> </w:t>
      </w:r>
      <w:r>
        <w:t>rapamycin, mTOR, is a serine/threonine protein kinase that acts as</w:t>
      </w:r>
      <w:r>
        <w:rPr>
          <w:spacing w:val="-1"/>
        </w:rPr>
        <w:t xml:space="preserve"> a</w:t>
      </w:r>
    </w:p>
    <w:p w14:paraId="7817E267">
      <w:pPr>
        <w:pStyle w:val="2"/>
        <w:spacing w:before="36" w:line="298" w:lineRule="auto"/>
        <w:ind w:left="553" w:right="484" w:firstLine="3"/>
      </w:pPr>
      <w:r>
        <w:rPr>
          <w:spacing w:val="-1"/>
        </w:rPr>
        <w:t>sensor for</w:t>
      </w:r>
      <w:r>
        <w:rPr>
          <w:spacing w:val="-9"/>
        </w:rPr>
        <w:t xml:space="preserve"> </w:t>
      </w:r>
      <w:r>
        <w:rPr>
          <w:spacing w:val="-1"/>
        </w:rPr>
        <w:t>ATP and amino acids, balancing the</w:t>
      </w:r>
      <w:r>
        <w:t xml:space="preserve">    availability</w:t>
      </w:r>
      <w:r>
        <w:rPr>
          <w:spacing w:val="3"/>
        </w:rPr>
        <w:t xml:space="preserve"> </w:t>
      </w:r>
      <w:r>
        <w:t>of</w:t>
      </w:r>
      <w:r>
        <w:rPr>
          <w:spacing w:val="-21"/>
        </w:rPr>
        <w:t xml:space="preserve"> </w:t>
      </w:r>
      <w:r>
        <w:t>nutrients</w:t>
      </w:r>
      <w:r>
        <w:rPr>
          <w:spacing w:val="3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translation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cell growth. The tuberin/hamartin (</w:t>
      </w:r>
      <w:r>
        <w:rPr>
          <w:spacing w:val="-1"/>
        </w:rPr>
        <w:t>TSC2/TSC1)</w:t>
      </w:r>
    </w:p>
    <w:p w14:paraId="2A28876B">
      <w:pPr>
        <w:pStyle w:val="2"/>
        <w:spacing w:before="36" w:line="292" w:lineRule="auto"/>
        <w:ind w:left="553" w:right="680" w:firstLine="1"/>
      </w:pPr>
      <w:r>
        <w:t>complex inhibits mTOR activity ind</w:t>
      </w:r>
      <w:r>
        <w:rPr>
          <w:spacing w:val="-1"/>
        </w:rPr>
        <w:t>irectly by</w:t>
      </w:r>
      <w:r>
        <w:t xml:space="preserve"> inhibiting RheB via tuberin'</w:t>
      </w:r>
      <w:r>
        <w:rPr>
          <w:spacing w:val="-1"/>
        </w:rPr>
        <w:t>s GAP activity.</w:t>
      </w:r>
    </w:p>
    <w:p w14:paraId="27DCD45D">
      <w:pPr>
        <w:pStyle w:val="2"/>
        <w:spacing w:before="37" w:line="298" w:lineRule="auto"/>
        <w:ind w:left="549" w:right="822" w:firstLine="2"/>
      </w:pPr>
      <w:r>
        <w:rPr>
          <w:b/>
          <w:bCs/>
        </w:rPr>
        <w:t>Immunogen:</w:t>
      </w:r>
      <w:r>
        <w:rPr>
          <w:b/>
          <w:bCs/>
          <w:spacing w:val="-10"/>
        </w:rPr>
        <w:t xml:space="preserve"> </w:t>
      </w:r>
      <w:r>
        <w:t>A syntheti</w:t>
      </w:r>
      <w:r>
        <w:rPr>
          <w:spacing w:val="-1"/>
        </w:rPr>
        <w:t>c peptide from the</w:t>
      </w:r>
      <w:r>
        <w:t xml:space="preserve">   internal</w:t>
      </w:r>
      <w:r>
        <w:rPr>
          <w:spacing w:val="3"/>
        </w:rPr>
        <w:t xml:space="preserve"> </w:t>
      </w:r>
      <w:r>
        <w:t>region</w:t>
      </w:r>
      <w:r>
        <w:rPr>
          <w:spacing w:val="3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RHEB</w:t>
      </w:r>
      <w:r>
        <w:rPr>
          <w:spacing w:val="3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includes</w:t>
      </w:r>
      <w:r>
        <w:rPr>
          <w:spacing w:val="3"/>
        </w:rPr>
        <w:t xml:space="preserve"> </w:t>
      </w:r>
      <w:r>
        <w:t>the mutation</w:t>
      </w:r>
      <w:r>
        <w:rPr>
          <w:spacing w:val="2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Y</w:t>
      </w:r>
      <w:r>
        <w:rPr>
          <w:spacing w:val="2"/>
        </w:rPr>
        <w:t xml:space="preserve">35N,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</w:p>
    <w:p w14:paraId="6392DC9B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7927E6E5">
      <w:pPr>
        <w:pStyle w:val="2"/>
        <w:spacing w:before="36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4F1D663F">
      <w:pPr>
        <w:pStyle w:val="2"/>
        <w:spacing w:before="125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1FEE8A4F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37BABE3A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2499FD45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0FA8963D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0A507138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1E8FCEEE">
      <w:pPr>
        <w:pStyle w:val="2"/>
        <w:spacing w:before="102" w:line="190" w:lineRule="auto"/>
        <w:ind w:left="552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</w:p>
    <w:p w14:paraId="726CB558">
      <w:pPr>
        <w:spacing w:line="55" w:lineRule="exact"/>
      </w:pPr>
    </w:p>
    <w:p w14:paraId="00EF77E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9D81651">
      <w:pPr>
        <w:pStyle w:val="2"/>
        <w:spacing w:before="125" w:line="186" w:lineRule="auto"/>
        <w:ind w:left="11"/>
      </w:pPr>
      <w:r>
        <w:rPr>
          <w:b/>
          <w:bCs/>
          <w:spacing w:val="-2"/>
        </w:rPr>
        <w:t>Storage buffer:</w:t>
      </w:r>
    </w:p>
    <w:p w14:paraId="64848E8E">
      <w:pPr>
        <w:pStyle w:val="2"/>
        <w:spacing w:before="118" w:line="190" w:lineRule="auto"/>
        <w:ind w:left="3"/>
      </w:pPr>
      <w:r>
        <w:rPr>
          <w:spacing w:val="-1"/>
        </w:rPr>
        <w:t>Preservative: no</w:t>
      </w:r>
    </w:p>
    <w:p w14:paraId="39D7113C">
      <w:pPr>
        <w:pStyle w:val="2"/>
        <w:spacing w:before="56" w:line="280" w:lineRule="auto"/>
        <w:ind w:left="7" w:right="873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73BE376F">
      <w:pPr>
        <w:pStyle w:val="2"/>
        <w:spacing w:before="102" w:line="259" w:lineRule="auto"/>
        <w:ind w:right="933" w:firstLine="11"/>
      </w:pPr>
      <w:r>
        <w:rPr>
          <w:b/>
          <w:bCs/>
        </w:rPr>
        <w:t xml:space="preserve">Species Reactivity: </w:t>
      </w:r>
      <w:r>
        <w:t>Recog</w:t>
      </w:r>
      <w:r>
        <w:rPr>
          <w:spacing w:val="-1"/>
        </w:rPr>
        <w:t>nizes Y35N mutant,</w:t>
      </w:r>
      <w:r>
        <w:t xml:space="preserve"> 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>-</w:t>
      </w:r>
      <w:r>
        <w:t>type</w:t>
      </w:r>
      <w:r>
        <w:rPr>
          <w:spacing w:val="3"/>
        </w:rPr>
        <w:t xml:space="preserve"> </w:t>
      </w:r>
      <w:r>
        <w:t>RHEB</w:t>
      </w:r>
      <w:r>
        <w:rPr>
          <w:spacing w:val="3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vertebrates</w:t>
      </w:r>
      <w:r>
        <w:rPr>
          <w:spacing w:val="3"/>
        </w:rPr>
        <w:t>.</w:t>
      </w:r>
    </w:p>
    <w:p w14:paraId="1D407EC4">
      <w:pPr>
        <w:pStyle w:val="2"/>
        <w:spacing w:before="103" w:line="259" w:lineRule="auto"/>
        <w:ind w:left="8" w:right="1244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1503D557">
      <w:pPr>
        <w:pStyle w:val="2"/>
        <w:spacing w:before="111" w:line="183" w:lineRule="auto"/>
        <w:ind w:left="2"/>
      </w:pPr>
      <w:r>
        <w:rPr>
          <w:b/>
          <w:bCs/>
          <w:spacing w:val="-1"/>
        </w:rPr>
        <w:t>Western blot:</w:t>
      </w:r>
    </w:p>
    <w:p w14:paraId="37728FA3">
      <w:pPr>
        <w:spacing w:before="235" w:line="3284" w:lineRule="exact"/>
        <w:ind w:firstLine="675"/>
      </w:pPr>
      <w:r>
        <w:rPr>
          <w:position w:val="-65"/>
        </w:rPr>
        <w:drawing>
          <wp:inline distT="0" distB="0" distL="0" distR="0">
            <wp:extent cx="1705610" cy="20847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20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D545">
      <w:pPr>
        <w:spacing w:line="287" w:lineRule="auto"/>
        <w:rPr>
          <w:rFonts w:ascii="Arial"/>
          <w:sz w:val="21"/>
        </w:rPr>
      </w:pPr>
    </w:p>
    <w:p w14:paraId="7C0D35E0">
      <w:pPr>
        <w:pStyle w:val="2"/>
        <w:spacing w:before="60" w:line="275" w:lineRule="auto"/>
        <w:ind w:left="8" w:right="907" w:hanging="6"/>
      </w:pPr>
      <w:r>
        <w:rPr>
          <w:b/>
          <w:bCs/>
        </w:rPr>
        <w:t xml:space="preserve">Western blot analysis </w:t>
      </w:r>
      <w:r>
        <w:rPr>
          <w:b/>
          <w:bCs/>
          <w:spacing w:val="-1"/>
        </w:rPr>
        <w:t>of recombinant RHEB</w:t>
      </w:r>
      <w:r>
        <w:rPr>
          <w:b/>
          <w:bCs/>
        </w:rPr>
        <w:t xml:space="preserve"> (Y35N) and wildtype protein</w:t>
      </w:r>
      <w:r>
        <w:rPr>
          <w:b/>
          <w:bCs/>
          <w:spacing w:val="-1"/>
        </w:rPr>
        <w:t xml:space="preserve">s. </w:t>
      </w:r>
      <w:r>
        <w:rPr>
          <w:spacing w:val="-1"/>
        </w:rPr>
        <w:t>Purified</w:t>
      </w:r>
    </w:p>
    <w:p w14:paraId="67F061AB">
      <w:pPr>
        <w:pStyle w:val="2"/>
        <w:spacing w:before="1" w:line="301" w:lineRule="auto"/>
        <w:ind w:right="996" w:firstLine="3"/>
      </w:pPr>
      <w:r>
        <w:t>His-tagged RHEB (Y35N) protein (lane2)</w:t>
      </w:r>
      <w:r>
        <w:rPr>
          <w:spacing w:val="-1"/>
        </w:rPr>
        <w:t xml:space="preserve"> and</w:t>
      </w:r>
      <w:r>
        <w:t xml:space="preserve"> corresponding wild-type protein (lane1) were  blotted with anti-RHEB (Y35N) monoclonal   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#26338).</w:t>
      </w:r>
    </w:p>
    <w:p w14:paraId="3D37FA28">
      <w:pPr>
        <w:spacing w:line="301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8"/>
          </w:cols>
        </w:sectPr>
      </w:pPr>
    </w:p>
    <w:p w14:paraId="78A32CD1">
      <w:pPr>
        <w:spacing w:line="259" w:lineRule="auto"/>
        <w:rPr>
          <w:rFonts w:ascii="Arial"/>
          <w:sz w:val="21"/>
        </w:rPr>
      </w:pPr>
    </w:p>
    <w:p w14:paraId="21E93EF6">
      <w:pPr>
        <w:spacing w:line="260" w:lineRule="auto"/>
        <w:rPr>
          <w:rFonts w:ascii="Arial"/>
          <w:sz w:val="21"/>
        </w:rPr>
      </w:pPr>
    </w:p>
    <w:p w14:paraId="04F38F42">
      <w:pPr>
        <w:spacing w:line="260" w:lineRule="auto"/>
        <w:rPr>
          <w:rFonts w:ascii="Arial"/>
          <w:sz w:val="21"/>
        </w:rPr>
      </w:pPr>
    </w:p>
    <w:p w14:paraId="20440851">
      <w:pPr>
        <w:spacing w:line="260" w:lineRule="auto"/>
        <w:rPr>
          <w:rFonts w:ascii="Arial"/>
          <w:sz w:val="21"/>
        </w:rPr>
      </w:pPr>
    </w:p>
    <w:p w14:paraId="728B6416">
      <w:pPr>
        <w:spacing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C6F0540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465010ED">
      <w:pPr>
        <w:spacing w:line="118" w:lineRule="exact"/>
      </w:pPr>
    </w:p>
    <w:p w14:paraId="52990ED4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6F3BEF47">
      <w:pPr>
        <w:pStyle w:val="2"/>
        <w:spacing w:before="49" w:line="246" w:lineRule="auto"/>
        <w:ind w:left="230" w:right="1506" w:hanging="230"/>
      </w:pPr>
    </w:p>
    <w:p w14:paraId="723CF517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22B0CB8B">
      <w:pPr>
        <w:spacing w:line="1305" w:lineRule="exact"/>
        <w:ind w:firstLine="540"/>
      </w:pPr>
    </w:p>
    <w:p w14:paraId="047C041E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A6E9CD6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558F1EFA">
      <w:pPr>
        <w:spacing w:before="87" w:line="3680" w:lineRule="exact"/>
        <w:ind w:firstLine="682"/>
      </w:pPr>
      <w:r>
        <w:rPr>
          <w:position w:val="-73"/>
        </w:rPr>
        <w:drawing>
          <wp:inline distT="0" distB="0" distL="0" distR="0">
            <wp:extent cx="2279015" cy="233616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9141" cy="23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8A7DB">
      <w:pPr>
        <w:pStyle w:val="2"/>
        <w:spacing w:before="100" w:line="275" w:lineRule="auto"/>
        <w:ind w:left="543" w:right="5328"/>
      </w:pPr>
      <w:r>
        <w:rPr>
          <w:b/>
          <w:bCs/>
        </w:rPr>
        <w:t>Immunofluorescence of cells exp</w:t>
      </w:r>
      <w:r>
        <w:rPr>
          <w:b/>
          <w:bCs/>
          <w:spacing w:val="-1"/>
        </w:rPr>
        <w:t>ressing RHEB</w:t>
      </w:r>
      <w:r>
        <w:rPr>
          <w:b/>
          <w:bCs/>
        </w:rPr>
        <w:t xml:space="preserve"> proteins with anti-RHEB (Y35N) </w:t>
      </w:r>
      <w:r>
        <w:rPr>
          <w:b/>
          <w:bCs/>
          <w:spacing w:val="-1"/>
        </w:rPr>
        <w:t>antibody.</w:t>
      </w:r>
    </w:p>
    <w:p w14:paraId="2B0023DB">
      <w:pPr>
        <w:pStyle w:val="2"/>
        <w:spacing w:line="276" w:lineRule="exact"/>
        <w:ind w:left="543"/>
      </w:pPr>
      <w:r>
        <w:rPr>
          <w:position w:val="1"/>
        </w:rPr>
        <w:t>HEK293T cells were transfect</w:t>
      </w:r>
      <w:r>
        <w:rPr>
          <w:spacing w:val="-1"/>
          <w:position w:val="1"/>
        </w:rPr>
        <w:t>ed with</w:t>
      </w:r>
    </w:p>
    <w:p w14:paraId="2C2A36B8">
      <w:pPr>
        <w:pStyle w:val="2"/>
        <w:spacing w:before="36" w:line="276" w:lineRule="exact"/>
        <w:ind w:left="539"/>
      </w:pPr>
      <w:r>
        <w:rPr>
          <w:position w:val="3"/>
        </w:rPr>
        <w:t>pCDNA3-GFP-RHEB (WT) plasmid (left</w:t>
      </w:r>
    </w:p>
    <w:p w14:paraId="3620B325">
      <w:pPr>
        <w:pStyle w:val="2"/>
        <w:spacing w:before="36" w:line="276" w:lineRule="exact"/>
        <w:ind w:left="547"/>
      </w:pPr>
      <w:r>
        <w:rPr>
          <w:position w:val="3"/>
        </w:rPr>
        <w:t>column) or pCDNA3-GFP-RHEB</w:t>
      </w:r>
      <w:r>
        <w:rPr>
          <w:spacing w:val="-1"/>
          <w:position w:val="3"/>
        </w:rPr>
        <w:t xml:space="preserve"> (Y35N)</w:t>
      </w:r>
    </w:p>
    <w:p w14:paraId="7F0EDC75">
      <w:pPr>
        <w:pStyle w:val="2"/>
        <w:spacing w:before="37" w:line="298" w:lineRule="auto"/>
        <w:ind w:left="540" w:right="5601" w:hanging="1"/>
        <w:rPr>
          <w:spacing w:val="1"/>
        </w:rPr>
      </w:pPr>
      <w:r>
        <w:t xml:space="preserve">plasmid (right column), then </w:t>
      </w:r>
      <w:r>
        <w:rPr>
          <w:spacing w:val="-1"/>
        </w:rPr>
        <w:t>fixed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stained</w:t>
      </w:r>
      <w:r>
        <w:t xml:space="preserve"> with anti-RHEB (Y35N) monoclonal antibo</w:t>
      </w:r>
      <w:r>
        <w:rPr>
          <w:spacing w:val="-1"/>
        </w:rPr>
        <w:t>dy</w:t>
      </w:r>
      <w:r>
        <w:t xml:space="preserve"> </w:t>
      </w:r>
      <w:r>
        <w:rPr>
          <w:spacing w:val="1"/>
        </w:rPr>
        <w:t>(</w:t>
      </w:r>
      <w:r>
        <w:t>Cat</w:t>
      </w:r>
      <w:r>
        <w:rPr>
          <w:spacing w:val="1"/>
        </w:rPr>
        <w:t>. #26338).</w:t>
      </w:r>
    </w:p>
    <w:p w14:paraId="285139C6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5B93B0A5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5C41EA38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76D8F583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58761620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10CDA594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065700EF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714E2A52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18C300A7">
      <w:pPr>
        <w:pStyle w:val="2"/>
        <w:spacing w:before="37" w:line="298" w:lineRule="auto"/>
        <w:ind w:left="540" w:right="5601" w:hanging="1"/>
        <w:rPr>
          <w:spacing w:val="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  <w:bookmarkStart w:id="0" w:name="_GoBack"/>
      <w:bookmarkEnd w:id="0"/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7669B0F7">
      <w:pPr>
        <w:pStyle w:val="2"/>
        <w:spacing w:before="37" w:line="298" w:lineRule="auto"/>
        <w:ind w:left="540" w:right="5601" w:hanging="1"/>
        <w:rPr>
          <w:spacing w:val="1"/>
        </w:rPr>
      </w:pPr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13B1F">
    <w:pPr>
      <w:spacing w:after="142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0FB33CF8">
    <w:pPr>
      <w:spacing w:after="52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2FF11E50">
    <w:pPr>
      <w:spacing w:line="386" w:lineRule="auto"/>
      <w:rPr>
        <w:rFonts w:ascii="Arial"/>
        <w:sz w:val="21"/>
      </w:rPr>
    </w:pPr>
  </w:p>
  <w:p w14:paraId="0F0720A2">
    <w:pPr>
      <w:pStyle w:val="2"/>
      <w:spacing w:line="176" w:lineRule="auto"/>
      <w:ind w:left="2271"/>
    </w:pPr>
    <w:r>
      <w:pict>
        <v:shape id="_x0000_s2050" o:spid="_x0000_s2050" o:spt="202" type="#_x0000_t202" style="position:absolute;left:0pt;margin-left:67.6pt;margin-top:-12.1pt;height:10.4pt;width:173.7pt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4A406113"/>
            </w:txbxContent>
          </v:textbox>
        </v:shape>
      </w:pict>
    </w:r>
    <w:r>
      <w:pict>
        <v:shape id="_x0000_s2051" o:spid="_x0000_s2051" o:spt="202" type="#_x0000_t202" style="position:absolute;left:0pt;margin-left:253.85pt;margin-top:-14.6pt;height:26.05pt;width:174.3pt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591134A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A607E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308</Words>
  <Characters>1933</Characters>
  <TotalTime>1</TotalTime>
  <ScaleCrop>false</ScaleCrop>
  <LinksUpToDate>false</LinksUpToDate>
  <CharactersWithSpaces>2238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2015-01-13T10:39:00Z</dcterms:created>
  <dc:creator>Administrator</dc:creator>
  <cp:lastModifiedBy>周亿福</cp:lastModifiedBy>
  <dcterms:modified xsi:type="dcterms:W3CDTF">2025-08-14T08:10:15Z</dcterms:modified>
  <dc:title>Microsoft Word - 26338 RHEB _Y35N_ 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2025-08-14T11:00:46Z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F4F7F3D2908340A8A56154BCBBEBED1D_12</vt:lpwstr>
  </property>
</Properties>
</file>